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14:paraId="44F083B8" w14:textId="77777777"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14:paraId="639DB565" w14:textId="61AF5BD5" w:rsidR="001755C7" w:rsidRDefault="00F97D8F" w:rsidP="001755C7">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w:t>
      </w:r>
      <w:r w:rsidR="001755C7" w:rsidRPr="002314F4">
        <w:rPr>
          <w:rFonts w:ascii="Times New Roman" w:hAnsi="Times New Roman" w:cs="Times New Roman"/>
          <w:color w:val="000000" w:themeColor="text1"/>
          <w:sz w:val="24"/>
          <w:szCs w:val="24"/>
        </w:rPr>
        <w:t xml:space="preserve">приобретение </w:t>
      </w:r>
      <w:r w:rsidR="00FA690D">
        <w:rPr>
          <w:rFonts w:ascii="Times New Roman" w:hAnsi="Times New Roman" w:cs="Times New Roman"/>
          <w:color w:val="000000" w:themeColor="text1"/>
          <w:sz w:val="24"/>
          <w:szCs w:val="24"/>
        </w:rPr>
        <w:t xml:space="preserve">системы видеонаблюдения в зоне сертификации </w:t>
      </w:r>
      <w:r w:rsidR="001755C7" w:rsidRPr="002314F4">
        <w:rPr>
          <w:rFonts w:ascii="Times New Roman" w:hAnsi="Times New Roman" w:cs="Times New Roman"/>
          <w:color w:val="000000" w:themeColor="text1"/>
          <w:sz w:val="24"/>
          <w:szCs w:val="24"/>
        </w:rPr>
        <w:t>в рамках</w:t>
      </w:r>
      <w:r w:rsidR="001755C7" w:rsidRPr="001178BA">
        <w:rPr>
          <w:rFonts w:ascii="Times New Roman" w:hAnsi="Times New Roman" w:cs="Times New Roman"/>
          <w:color w:val="000000" w:themeColor="text1"/>
          <w:sz w:val="24"/>
          <w:szCs w:val="24"/>
        </w:rPr>
        <w:t xml:space="preserve">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14730F7C" w14:textId="1D25D5E6" w:rsidR="009C5FF3" w:rsidRDefault="009C5FF3" w:rsidP="001755C7">
      <w:pPr>
        <w:spacing w:after="0" w:line="240" w:lineRule="auto"/>
        <w:jc w:val="center"/>
        <w:rPr>
          <w:rFonts w:ascii="Times New Roman" w:hAnsi="Times New Roman" w:cs="Times New Roman"/>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59"/>
        <w:gridCol w:w="4699"/>
        <w:gridCol w:w="1181"/>
        <w:gridCol w:w="993"/>
      </w:tblGrid>
      <w:tr w:rsidR="009C5FF3" w:rsidRPr="009C5FF3" w14:paraId="2EF63CDB" w14:textId="77777777" w:rsidTr="007C7506">
        <w:trPr>
          <w:trHeight w:val="630"/>
        </w:trPr>
        <w:tc>
          <w:tcPr>
            <w:tcW w:w="566" w:type="dxa"/>
            <w:shd w:val="clear" w:color="auto" w:fill="auto"/>
            <w:hideMark/>
          </w:tcPr>
          <w:p w14:paraId="7B7D72FB" w14:textId="77777777" w:rsidR="009C5FF3" w:rsidRPr="009C5FF3" w:rsidRDefault="009C5FF3" w:rsidP="00C27BCC">
            <w:pPr>
              <w:spacing w:after="0" w:line="240" w:lineRule="auto"/>
              <w:jc w:val="center"/>
              <w:rPr>
                <w:rFonts w:ascii="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 п/п</w:t>
            </w:r>
          </w:p>
        </w:tc>
        <w:tc>
          <w:tcPr>
            <w:tcW w:w="2059" w:type="dxa"/>
            <w:shd w:val="clear" w:color="auto" w:fill="auto"/>
            <w:hideMark/>
          </w:tcPr>
          <w:p w14:paraId="16B0F721" w14:textId="77777777"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Наименование оборудования**</w:t>
            </w:r>
          </w:p>
        </w:tc>
        <w:tc>
          <w:tcPr>
            <w:tcW w:w="4699" w:type="dxa"/>
            <w:shd w:val="clear" w:color="auto" w:fill="auto"/>
            <w:hideMark/>
          </w:tcPr>
          <w:p w14:paraId="1E056EDA" w14:textId="77777777"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Примерные технические характеристики</w:t>
            </w:r>
          </w:p>
        </w:tc>
        <w:tc>
          <w:tcPr>
            <w:tcW w:w="1181" w:type="dxa"/>
            <w:shd w:val="clear" w:color="auto" w:fill="auto"/>
            <w:hideMark/>
          </w:tcPr>
          <w:p w14:paraId="517A6E12" w14:textId="77777777"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Ед. изм.</w:t>
            </w:r>
          </w:p>
        </w:tc>
        <w:tc>
          <w:tcPr>
            <w:tcW w:w="993" w:type="dxa"/>
            <w:shd w:val="clear" w:color="auto" w:fill="auto"/>
            <w:noWrap/>
            <w:hideMark/>
          </w:tcPr>
          <w:p w14:paraId="60DD9050" w14:textId="77777777"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 xml:space="preserve">Кол-во </w:t>
            </w:r>
          </w:p>
        </w:tc>
      </w:tr>
      <w:tr w:rsidR="009C5FF3" w:rsidRPr="009C5FF3" w14:paraId="0BB879B3" w14:textId="77777777" w:rsidTr="007C7506">
        <w:trPr>
          <w:trHeight w:val="630"/>
        </w:trPr>
        <w:tc>
          <w:tcPr>
            <w:tcW w:w="566" w:type="dxa"/>
            <w:shd w:val="clear" w:color="auto" w:fill="auto"/>
          </w:tcPr>
          <w:p w14:paraId="6A3B720F" w14:textId="77777777" w:rsidR="009C5FF3" w:rsidRPr="009C5FF3" w:rsidRDefault="009C5FF3" w:rsidP="009C5FF3">
            <w:pPr>
              <w:spacing w:after="0" w:line="240" w:lineRule="auto"/>
              <w:jc w:val="center"/>
              <w:rPr>
                <w:rFonts w:ascii="Times New Roman" w:eastAsia="Times New Roman" w:hAnsi="Times New Roman" w:cs="Times New Roman"/>
                <w:color w:val="000000" w:themeColor="text1"/>
                <w:sz w:val="24"/>
                <w:szCs w:val="24"/>
              </w:rPr>
            </w:pPr>
          </w:p>
        </w:tc>
        <w:tc>
          <w:tcPr>
            <w:tcW w:w="2059" w:type="dxa"/>
            <w:shd w:val="clear" w:color="auto" w:fill="auto"/>
          </w:tcPr>
          <w:p w14:paraId="059391D4" w14:textId="48D300D4" w:rsidR="009C5FF3" w:rsidRPr="009C5FF3" w:rsidRDefault="009C5FF3" w:rsidP="009C5FF3">
            <w:pPr>
              <w:spacing w:after="0" w:line="240" w:lineRule="auto"/>
              <w:jc w:val="both"/>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sz w:val="24"/>
                <w:szCs w:val="24"/>
              </w:rPr>
              <w:t>Система видеонаблюдения в зоне сертификации</w:t>
            </w:r>
          </w:p>
        </w:tc>
        <w:tc>
          <w:tcPr>
            <w:tcW w:w="4699" w:type="dxa"/>
            <w:shd w:val="clear" w:color="auto" w:fill="auto"/>
          </w:tcPr>
          <w:p w14:paraId="61D3A393" w14:textId="4BD8A0BF"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Видеорегистратор (32 канальный, 4HDD, PoE) – 1 шт, Жесткий диск SATA-III емкостью не менее 6Tb для систем видеонаблюдения – не менее 4 шт.</w:t>
            </w:r>
          </w:p>
          <w:p w14:paraId="0F372116"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Жидкокристаллический монитор с диагональю не менее 31''', разрешение монитора не менее 2560*1440, Порты для входа HDMI не менее 2.</w:t>
            </w:r>
          </w:p>
          <w:p w14:paraId="50FD04EF"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 xml:space="preserve">Купольная камера  </w:t>
            </w:r>
          </w:p>
          <w:p w14:paraId="15B32AA8"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 xml:space="preserve">размер матрицы не менее 5Мп (2600х1960@20 к/с, 1920х1080@30 к/с) </w:t>
            </w:r>
          </w:p>
          <w:p w14:paraId="15781CBE" w14:textId="3EC5A7D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вариофокальным объективом с фокусным расстоянием в диапазоне 2.8 - 12 мм – не менее 12 шт.</w:t>
            </w:r>
          </w:p>
          <w:p w14:paraId="3BF350DB"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поддержка питание PoE</w:t>
            </w:r>
          </w:p>
          <w:p w14:paraId="0071C55E"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 xml:space="preserve">Коммутатор MikroTik CRS328-24P-4S+RM 24G 4SFP+ 24PoE управляемый или эквивалент – не менее 1 шт, </w:t>
            </w:r>
          </w:p>
          <w:p w14:paraId="27AD5887" w14:textId="77777777"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 xml:space="preserve">Коммутационная панель 19", 1U, 24 порта, Кат.5e (Класс D) – не менее 2 шт. </w:t>
            </w:r>
          </w:p>
          <w:p w14:paraId="094E2678" w14:textId="402A016B"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Монтажный комплект – 1 комплект.</w:t>
            </w:r>
          </w:p>
        </w:tc>
        <w:tc>
          <w:tcPr>
            <w:tcW w:w="1181" w:type="dxa"/>
            <w:shd w:val="clear" w:color="auto" w:fill="auto"/>
          </w:tcPr>
          <w:p w14:paraId="162682C4" w14:textId="500EB943" w:rsidR="009C5FF3" w:rsidRPr="009C5FF3" w:rsidRDefault="009C5FF3" w:rsidP="009C5FF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комплект</w:t>
            </w:r>
          </w:p>
        </w:tc>
        <w:tc>
          <w:tcPr>
            <w:tcW w:w="993" w:type="dxa"/>
            <w:shd w:val="clear" w:color="auto" w:fill="auto"/>
            <w:noWrap/>
          </w:tcPr>
          <w:p w14:paraId="5E736361" w14:textId="5FE60CBD" w:rsidR="009C5FF3" w:rsidRPr="009C5FF3" w:rsidRDefault="009C5FF3" w:rsidP="009C5FF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bl>
    <w:p w14:paraId="4F8BA7D4" w14:textId="3BB25099" w:rsidR="009C5FF3" w:rsidRDefault="009C5FF3" w:rsidP="001755C7">
      <w:pPr>
        <w:spacing w:after="0" w:line="240" w:lineRule="auto"/>
        <w:jc w:val="center"/>
        <w:rPr>
          <w:rFonts w:ascii="Times New Roman" w:hAnsi="Times New Roman" w:cs="Times New Roman"/>
          <w:color w:val="000000" w:themeColor="text1"/>
          <w:sz w:val="24"/>
          <w:szCs w:val="24"/>
        </w:rPr>
      </w:pPr>
    </w:p>
    <w:p w14:paraId="2DF44503" w14:textId="2C73D117" w:rsidR="001755C7" w:rsidRPr="0033369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 </w:t>
      </w:r>
      <w:r w:rsidR="001755C7" w:rsidRPr="00333698">
        <w:rPr>
          <w:rFonts w:ascii="Times New Roman" w:eastAsia="Times New Roman" w:hAnsi="Times New Roman" w:cs="Times New Roman"/>
          <w:color w:val="000000" w:themeColor="text1"/>
          <w:sz w:val="24"/>
          <w:szCs w:val="24"/>
        </w:rPr>
        <w:t>Условия поставки:</w:t>
      </w:r>
    </w:p>
    <w:p w14:paraId="0F08428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lastRenderedPageBreak/>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4.9. Приемка товара:</w:t>
      </w:r>
    </w:p>
    <w:p w14:paraId="185F78E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lastRenderedPageBreak/>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56C6484F"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w:t>
      </w:r>
    </w:p>
    <w:p w14:paraId="5E2289D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333698" w:rsidRDefault="0067666E" w:rsidP="00447EDE">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 xml:space="preserve">10. </w:t>
      </w:r>
      <w:r w:rsidR="008F73A9" w:rsidRPr="0033369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58F3CE78" w:rsidR="008B0488" w:rsidRPr="00333698" w:rsidRDefault="008F73A9" w:rsidP="00FF75DF">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p w14:paraId="1517F656" w14:textId="22E56E54" w:rsidR="00162136" w:rsidRPr="00333698" w:rsidRDefault="00162136" w:rsidP="00162136">
      <w:pPr>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 xml:space="preserve">Упоминание торгового знака читать с наличием (или эквивалент) в соответствии с Постановлением от 16.09.2016 № 925 «О приоритете товаров российского происхождения, работ, услуг, выполняемых, оказываемых российскими лицами, по отношению к товарам, </w:t>
      </w:r>
      <w:r w:rsidRPr="00333698">
        <w:rPr>
          <w:rFonts w:ascii="Times New Roman" w:eastAsia="Times New Roman" w:hAnsi="Times New Roman" w:cs="Times New Roman"/>
          <w:sz w:val="24"/>
          <w:szCs w:val="24"/>
        </w:rPr>
        <w:lastRenderedPageBreak/>
        <w:t>происходящим из иностранного государства, работам, услугам, выполняемым, оказываемым иностранными лицами» в размере 15%</w:t>
      </w:r>
    </w:p>
    <w:p w14:paraId="5352093F"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Условием предоставления приоритета являются следующие условия:</w:t>
      </w:r>
    </w:p>
    <w:p w14:paraId="0D39A51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77EDF62"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б) участник несет ответственность за представление недостоверных сведений о стране происхождения товара, указанного в заявке на участие в закупке;</w:t>
      </w:r>
    </w:p>
    <w:p w14:paraId="594C9AC0"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6AD9A42B"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7BFF7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д) цель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203EC78"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937D9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45634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4BCAA48" w14:textId="500C1D1C" w:rsidR="00162136" w:rsidRPr="00162136" w:rsidRDefault="00162136" w:rsidP="0016213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33698">
        <w:rPr>
          <w:rFonts w:ascii="Times New Roman" w:eastAsia="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sectPr w:rsidR="00162136" w:rsidRPr="00162136"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BD"/>
    <w:multiLevelType w:val="hybridMultilevel"/>
    <w:tmpl w:val="4ADAE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41884"/>
    <w:multiLevelType w:val="hybridMultilevel"/>
    <w:tmpl w:val="818EABAA"/>
    <w:lvl w:ilvl="0" w:tplc="04190001">
      <w:start w:val="1"/>
      <w:numFmt w:val="bullet"/>
      <w:lvlText w:val=""/>
      <w:lvlJc w:val="left"/>
      <w:pPr>
        <w:ind w:left="1004" w:hanging="360"/>
      </w:pPr>
      <w:rPr>
        <w:rFonts w:ascii="Symbol" w:hAnsi="Symbol" w:hint="default"/>
      </w:rPr>
    </w:lvl>
    <w:lvl w:ilvl="1" w:tplc="BB0EBA3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605A2FFE"/>
    <w:multiLevelType w:val="hybridMultilevel"/>
    <w:tmpl w:val="E5F6CF86"/>
    <w:lvl w:ilvl="0" w:tplc="04190001">
      <w:start w:val="1"/>
      <w:numFmt w:val="bullet"/>
      <w:lvlText w:val=""/>
      <w:lvlJc w:val="left"/>
      <w:pPr>
        <w:ind w:left="720" w:hanging="360"/>
      </w:pPr>
      <w:rPr>
        <w:rFonts w:ascii="Symbol" w:hAnsi="Symbol" w:hint="default"/>
      </w:rPr>
    </w:lvl>
    <w:lvl w:ilvl="1" w:tplc="DD66231C">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C14496"/>
    <w:multiLevelType w:val="multilevel"/>
    <w:tmpl w:val="D4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E48F5"/>
    <w:multiLevelType w:val="hybridMultilevel"/>
    <w:tmpl w:val="61F20D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2"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204EF"/>
    <w:multiLevelType w:val="hybridMultilevel"/>
    <w:tmpl w:val="E522FBF2"/>
    <w:lvl w:ilvl="0" w:tplc="04190001">
      <w:start w:val="1"/>
      <w:numFmt w:val="bullet"/>
      <w:lvlText w:val=""/>
      <w:lvlJc w:val="left"/>
      <w:pPr>
        <w:ind w:left="720" w:hanging="360"/>
      </w:pPr>
      <w:rPr>
        <w:rFonts w:ascii="Symbol" w:hAnsi="Symbol" w:hint="default"/>
      </w:rPr>
    </w:lvl>
    <w:lvl w:ilvl="1" w:tplc="0EAE6FE2">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11"/>
  </w:num>
  <w:num w:numId="6">
    <w:abstractNumId w:val="8"/>
  </w:num>
  <w:num w:numId="7">
    <w:abstractNumId w:val="7"/>
  </w:num>
  <w:num w:numId="8">
    <w:abstractNumId w:val="3"/>
  </w:num>
  <w:num w:numId="9">
    <w:abstractNumId w:val="16"/>
  </w:num>
  <w:num w:numId="10">
    <w:abstractNumId w:val="20"/>
  </w:num>
  <w:num w:numId="11">
    <w:abstractNumId w:val="14"/>
  </w:num>
  <w:num w:numId="12">
    <w:abstractNumId w:val="9"/>
  </w:num>
  <w:num w:numId="13">
    <w:abstractNumId w:val="17"/>
  </w:num>
  <w:num w:numId="14">
    <w:abstractNumId w:val="1"/>
  </w:num>
  <w:num w:numId="15">
    <w:abstractNumId w:val="22"/>
  </w:num>
  <w:num w:numId="16">
    <w:abstractNumId w:val="4"/>
  </w:num>
  <w:num w:numId="17">
    <w:abstractNumId w:val="10"/>
  </w:num>
  <w:num w:numId="18">
    <w:abstractNumId w:val="21"/>
  </w:num>
  <w:num w:numId="19">
    <w:abstractNumId w:val="18"/>
  </w:num>
  <w:num w:numId="20">
    <w:abstractNumId w:val="2"/>
  </w:num>
  <w:num w:numId="21">
    <w:abstractNumId w:val="15"/>
  </w:num>
  <w:num w:numId="22">
    <w:abstractNumId w:val="23"/>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B6F88"/>
    <w:rsid w:val="001178BA"/>
    <w:rsid w:val="00141903"/>
    <w:rsid w:val="00162136"/>
    <w:rsid w:val="001755C7"/>
    <w:rsid w:val="002314F4"/>
    <w:rsid w:val="002351BD"/>
    <w:rsid w:val="002471E2"/>
    <w:rsid w:val="0025388B"/>
    <w:rsid w:val="002B2189"/>
    <w:rsid w:val="002E48D2"/>
    <w:rsid w:val="00310396"/>
    <w:rsid w:val="00333698"/>
    <w:rsid w:val="00354C89"/>
    <w:rsid w:val="00392F81"/>
    <w:rsid w:val="00435028"/>
    <w:rsid w:val="00443BDA"/>
    <w:rsid w:val="00447EDE"/>
    <w:rsid w:val="00467DCC"/>
    <w:rsid w:val="004F1AC4"/>
    <w:rsid w:val="00584062"/>
    <w:rsid w:val="0067666E"/>
    <w:rsid w:val="006C7CEA"/>
    <w:rsid w:val="00720852"/>
    <w:rsid w:val="007A6A6A"/>
    <w:rsid w:val="007C7506"/>
    <w:rsid w:val="0084569F"/>
    <w:rsid w:val="00850BED"/>
    <w:rsid w:val="008A4AD5"/>
    <w:rsid w:val="008B0488"/>
    <w:rsid w:val="008F73A9"/>
    <w:rsid w:val="0091434E"/>
    <w:rsid w:val="009572AB"/>
    <w:rsid w:val="009C5FF3"/>
    <w:rsid w:val="009C6C71"/>
    <w:rsid w:val="009C7268"/>
    <w:rsid w:val="00A05D2A"/>
    <w:rsid w:val="00AE5CDC"/>
    <w:rsid w:val="00B679CA"/>
    <w:rsid w:val="00BA5CD5"/>
    <w:rsid w:val="00C54CA1"/>
    <w:rsid w:val="00C64B48"/>
    <w:rsid w:val="00C74E95"/>
    <w:rsid w:val="00C9022B"/>
    <w:rsid w:val="00C95F32"/>
    <w:rsid w:val="00D03B69"/>
    <w:rsid w:val="00D15AB1"/>
    <w:rsid w:val="00D74BD1"/>
    <w:rsid w:val="00DD0C34"/>
    <w:rsid w:val="00E31069"/>
    <w:rsid w:val="00E55F47"/>
    <w:rsid w:val="00E73F11"/>
    <w:rsid w:val="00EF39AA"/>
    <w:rsid w:val="00F1589E"/>
    <w:rsid w:val="00F2418D"/>
    <w:rsid w:val="00F27790"/>
    <w:rsid w:val="00F97D8F"/>
    <w:rsid w:val="00FA690D"/>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b">
    <w:name w:val="No Spacing"/>
    <w:uiPriority w:val="1"/>
    <w:qFormat/>
    <w:rsid w:val="00162136"/>
    <w:pPr>
      <w:spacing w:after="0" w:line="240" w:lineRule="auto"/>
    </w:pPr>
    <w:rPr>
      <w:lang w:eastAsia="en-US"/>
    </w:rPr>
  </w:style>
  <w:style w:type="paragraph" w:styleId="ac">
    <w:name w:val="Normal (Web)"/>
    <w:basedOn w:val="a0"/>
    <w:uiPriority w:val="99"/>
    <w:unhideWhenUsed/>
    <w:rsid w:val="00C9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rsid w:val="00C90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28</cp:revision>
  <cp:lastPrinted>2020-12-26T07:58:00Z</cp:lastPrinted>
  <dcterms:created xsi:type="dcterms:W3CDTF">2020-12-27T15:16:00Z</dcterms:created>
  <dcterms:modified xsi:type="dcterms:W3CDTF">2020-12-30T06:21:00Z</dcterms:modified>
</cp:coreProperties>
</file>